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B1E" w:rsidRPr="00C408D6" w:rsidRDefault="00AA22D8" w:rsidP="005904B2">
      <w:pPr>
        <w:jc w:val="center"/>
        <w:rPr>
          <w:b/>
          <w:caps/>
          <w:sz w:val="32"/>
          <w:szCs w:val="32"/>
        </w:rPr>
      </w:pPr>
      <w:r w:rsidRPr="00C408D6">
        <w:rPr>
          <w:b/>
          <w:caps/>
          <w:sz w:val="32"/>
          <w:szCs w:val="32"/>
        </w:rPr>
        <w:t>201</w:t>
      </w:r>
      <w:r w:rsidR="00887B4A">
        <w:rPr>
          <w:b/>
          <w:caps/>
          <w:sz w:val="32"/>
          <w:szCs w:val="32"/>
        </w:rPr>
        <w:t>0</w:t>
      </w:r>
      <w:r w:rsidR="00046B1E" w:rsidRPr="00C408D6">
        <w:rPr>
          <w:b/>
          <w:caps/>
          <w:sz w:val="32"/>
          <w:szCs w:val="32"/>
        </w:rPr>
        <w:t xml:space="preserve"> Annual EEO Public </w:t>
      </w:r>
      <w:smartTag w:uri="urn:schemas-microsoft-com:office:smarttags" w:element="stockticker">
        <w:r w:rsidR="00046B1E" w:rsidRPr="00C408D6">
          <w:rPr>
            <w:b/>
            <w:caps/>
            <w:sz w:val="32"/>
            <w:szCs w:val="32"/>
          </w:rPr>
          <w:t>File</w:t>
        </w:r>
      </w:smartTag>
      <w:r w:rsidR="00046B1E" w:rsidRPr="00C408D6">
        <w:rPr>
          <w:b/>
          <w:caps/>
          <w:sz w:val="32"/>
          <w:szCs w:val="32"/>
        </w:rPr>
        <w:t xml:space="preserve"> Report</w:t>
      </w:r>
    </w:p>
    <w:p w:rsidR="00046B1E" w:rsidRDefault="00046B1E" w:rsidP="00DE3FCF"/>
    <w:p w:rsidR="00046B1E" w:rsidRPr="005904B2" w:rsidRDefault="002A307B" w:rsidP="005904B2">
      <w:pPr>
        <w:jc w:val="center"/>
        <w:rPr>
          <w:b/>
        </w:rPr>
      </w:pPr>
      <w:r>
        <w:rPr>
          <w:b/>
        </w:rPr>
        <w:t xml:space="preserve">TEAM </w:t>
      </w:r>
      <w:r w:rsidR="00046B1E">
        <w:rPr>
          <w:b/>
        </w:rPr>
        <w:t>Broadcasting</w:t>
      </w:r>
      <w:r w:rsidR="00046B1E" w:rsidRPr="005904B2">
        <w:rPr>
          <w:b/>
        </w:rPr>
        <w:t>,</w:t>
      </w:r>
      <w:r>
        <w:rPr>
          <w:b/>
        </w:rPr>
        <w:t xml:space="preserve"> Inc.</w:t>
      </w:r>
    </w:p>
    <w:p w:rsidR="00046B1E" w:rsidRDefault="00046B1E" w:rsidP="00DE3FCF"/>
    <w:p w:rsidR="00046B1E" w:rsidRDefault="002A307B" w:rsidP="00DE3FCF">
      <w:pPr>
        <w:ind w:left="3600" w:hanging="3600"/>
      </w:pPr>
      <w:r>
        <w:t>Station</w:t>
      </w:r>
      <w:r w:rsidR="005C7E6B">
        <w:t xml:space="preserve"> Employment Unit:</w:t>
      </w:r>
      <w:r w:rsidR="005C7E6B">
        <w:tab/>
      </w:r>
      <w:r w:rsidR="00B9386B">
        <w:t>KQTM-FM</w:t>
      </w:r>
      <w:r w:rsidR="005C7E6B">
        <w:t xml:space="preserve"> </w:t>
      </w:r>
    </w:p>
    <w:p w:rsidR="00046B1E" w:rsidRDefault="00046B1E" w:rsidP="005904B2"/>
    <w:p w:rsidR="00046B1E" w:rsidRDefault="00046B1E" w:rsidP="005904B2">
      <w:r>
        <w:t>Date Range of Annual Report:</w:t>
      </w:r>
      <w:r>
        <w:tab/>
      </w:r>
      <w:r w:rsidR="00804259">
        <w:t>June 1, 2010</w:t>
      </w:r>
      <w:r>
        <w:t xml:space="preserve"> to </w:t>
      </w:r>
      <w:r w:rsidR="00804259">
        <w:t>May 31, 2</w:t>
      </w:r>
      <w:r w:rsidR="002901CE">
        <w:t>01</w:t>
      </w:r>
      <w:r w:rsidR="002A307B">
        <w:t>1</w:t>
      </w:r>
      <w:r>
        <w:t xml:space="preserve"> </w:t>
      </w:r>
    </w:p>
    <w:p w:rsidR="00046B1E" w:rsidRDefault="00046B1E" w:rsidP="005904B2"/>
    <w:p w:rsidR="00046B1E" w:rsidRDefault="00046B1E" w:rsidP="005904B2">
      <w:r>
        <w:t>No. of Full-time Employees:</w:t>
      </w:r>
      <w:r>
        <w:tab/>
      </w:r>
      <w:r>
        <w:tab/>
      </w:r>
      <w:r w:rsidR="002A307B">
        <w:t>6</w:t>
      </w:r>
    </w:p>
    <w:p w:rsidR="00046B1E" w:rsidRDefault="00046B1E" w:rsidP="005904B2"/>
    <w:p w:rsidR="00046B1E" w:rsidRDefault="00046B1E" w:rsidP="005904B2">
      <w:r>
        <w:t xml:space="preserve">During the Reporting Period, a total of </w:t>
      </w:r>
      <w:r w:rsidR="00CE700E" w:rsidRPr="00D440AD">
        <w:rPr>
          <w:b/>
        </w:rPr>
        <w:t xml:space="preserve">two </w:t>
      </w:r>
      <w:r w:rsidR="00D440AD" w:rsidRPr="00D440AD">
        <w:rPr>
          <w:b/>
        </w:rPr>
        <w:t xml:space="preserve">(2) </w:t>
      </w:r>
      <w:r>
        <w:t xml:space="preserve">full time positions were filled.  The information required by FCC Rule 73.2080(c) (6) is provided in the charts that follow.  </w:t>
      </w:r>
    </w:p>
    <w:p w:rsidR="00046B1E" w:rsidRDefault="00046B1E" w:rsidP="00EE1D8A"/>
    <w:p w:rsidR="00046B1E" w:rsidRPr="00542821" w:rsidRDefault="00046B1E" w:rsidP="00EE1D8A">
      <w:pPr>
        <w:jc w:val="center"/>
        <w:rPr>
          <w:caps/>
          <w:sz w:val="28"/>
          <w:szCs w:val="28"/>
        </w:rPr>
      </w:pPr>
      <w:r w:rsidRPr="00542821">
        <w:rPr>
          <w:caps/>
          <w:sz w:val="28"/>
          <w:szCs w:val="28"/>
        </w:rPr>
        <w:t>Initiatives</w:t>
      </w:r>
    </w:p>
    <w:p w:rsidR="00046B1E" w:rsidRDefault="00046B1E" w:rsidP="00EE1D8A"/>
    <w:p w:rsidR="00046B1E" w:rsidRDefault="00046B1E" w:rsidP="00EE1D8A">
      <w:r>
        <w:t>The employment unit engaged in the following broad outreach initiatives in accordance with various elements of FCC Rule 73.2080(c) (2):</w:t>
      </w:r>
    </w:p>
    <w:p w:rsidR="00046B1E" w:rsidRDefault="00046B1E" w:rsidP="00EE1D8A"/>
    <w:p w:rsidR="0041425F" w:rsidRDefault="0041425F" w:rsidP="0041425F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41425F" w:rsidTr="00FA1BAC">
        <w:tc>
          <w:tcPr>
            <w:tcW w:w="4428" w:type="dxa"/>
          </w:tcPr>
          <w:p w:rsidR="0041425F" w:rsidRPr="00507B98" w:rsidRDefault="0041425F" w:rsidP="00FA1BAC">
            <w:pPr>
              <w:rPr>
                <w:b/>
                <w:caps/>
              </w:rPr>
            </w:pPr>
            <w:r w:rsidRPr="00507B98">
              <w:rPr>
                <w:b/>
                <w:caps/>
                <w:highlight w:val="lightGray"/>
              </w:rPr>
              <w:t>Type of Initiative</w:t>
            </w:r>
            <w:r w:rsidRPr="00507B98">
              <w:rPr>
                <w:b/>
                <w:caps/>
              </w:rPr>
              <w:t xml:space="preserve"> </w:t>
            </w:r>
          </w:p>
        </w:tc>
        <w:tc>
          <w:tcPr>
            <w:tcW w:w="4428" w:type="dxa"/>
          </w:tcPr>
          <w:p w:rsidR="0041425F" w:rsidRPr="006B4102" w:rsidRDefault="0041425F" w:rsidP="00FA1BAC">
            <w:pPr>
              <w:rPr>
                <w:b/>
                <w:caps/>
                <w:color w:val="000000"/>
                <w:highlight w:val="lightGray"/>
              </w:rPr>
            </w:pPr>
            <w:r w:rsidRPr="006B4102">
              <w:rPr>
                <w:b/>
                <w:caps/>
                <w:color w:val="000000"/>
                <w:highlight w:val="lightGray"/>
              </w:rPr>
              <w:t>Description of Activity</w:t>
            </w:r>
          </w:p>
          <w:p w:rsidR="0041425F" w:rsidRPr="006B4102" w:rsidRDefault="0041425F" w:rsidP="00FA1BAC">
            <w:pPr>
              <w:rPr>
                <w:b/>
                <w:caps/>
                <w:color w:val="000000"/>
                <w:highlight w:val="lightGray"/>
              </w:rPr>
            </w:pPr>
          </w:p>
        </w:tc>
      </w:tr>
      <w:tr w:rsidR="0041425F" w:rsidTr="00FA1BAC">
        <w:tc>
          <w:tcPr>
            <w:tcW w:w="4428" w:type="dxa"/>
          </w:tcPr>
          <w:p w:rsidR="0041425F" w:rsidRDefault="0041425F" w:rsidP="0041521B">
            <w:pPr>
              <w:rPr>
                <w:color w:val="000000"/>
              </w:rPr>
            </w:pPr>
            <w:r w:rsidRPr="003F70F4">
              <w:rPr>
                <w:color w:val="000000"/>
              </w:rPr>
              <w:t>Intern Program (</w:t>
            </w:r>
            <w:r w:rsidR="0041521B">
              <w:rPr>
                <w:color w:val="000000"/>
              </w:rPr>
              <w:t>UNM</w:t>
            </w:r>
            <w:r w:rsidRPr="003F70F4">
              <w:rPr>
                <w:color w:val="000000"/>
              </w:rPr>
              <w:t>)</w:t>
            </w:r>
            <w:r w:rsidR="0041521B">
              <w:rPr>
                <w:color w:val="000000"/>
              </w:rPr>
              <w:t xml:space="preserve"> </w:t>
            </w:r>
          </w:p>
          <w:p w:rsidR="0041521B" w:rsidRDefault="0041521B" w:rsidP="0041521B">
            <w:pPr>
              <w:rPr>
                <w:color w:val="000000"/>
              </w:rPr>
            </w:pPr>
            <w:r>
              <w:rPr>
                <w:color w:val="000000"/>
              </w:rPr>
              <w:t>Dr. John Barns (Communications)</w:t>
            </w:r>
          </w:p>
          <w:p w:rsidR="0041521B" w:rsidRDefault="0041521B" w:rsidP="0041521B">
            <w:pPr>
              <w:rPr>
                <w:color w:val="000000"/>
              </w:rPr>
            </w:pPr>
            <w:r>
              <w:rPr>
                <w:color w:val="000000"/>
              </w:rPr>
              <w:t>UNM Career Services</w:t>
            </w:r>
          </w:p>
          <w:p w:rsidR="0041521B" w:rsidRDefault="0041521B" w:rsidP="0041521B">
            <w:pPr>
              <w:rPr>
                <w:color w:val="000000"/>
              </w:rPr>
            </w:pPr>
            <w:r>
              <w:rPr>
                <w:color w:val="000000"/>
              </w:rPr>
              <w:t>Albuquerque, NM</w:t>
            </w:r>
          </w:p>
          <w:p w:rsidR="0041521B" w:rsidRPr="003F70F4" w:rsidRDefault="0041521B" w:rsidP="0041521B">
            <w:pPr>
              <w:rPr>
                <w:color w:val="000000"/>
              </w:rPr>
            </w:pPr>
            <w:r>
              <w:rPr>
                <w:color w:val="000000"/>
              </w:rPr>
              <w:t>jobpost@unm.edu</w:t>
            </w:r>
          </w:p>
        </w:tc>
        <w:tc>
          <w:tcPr>
            <w:tcW w:w="4428" w:type="dxa"/>
          </w:tcPr>
          <w:p w:rsidR="00FF05B6" w:rsidRDefault="0041521B" w:rsidP="0041521B">
            <w:pPr>
              <w:widowControl w:val="0"/>
              <w:autoSpaceDE w:val="0"/>
              <w:autoSpaceDN w:val="0"/>
              <w:adjustRightInd w:val="0"/>
            </w:pPr>
            <w:r>
              <w:t>The station conducts an annual class seminar on media and broadcasting. The seminar is led by TEAM President Joe O’Neill.</w:t>
            </w:r>
            <w:r w:rsidR="0041425F">
              <w:t xml:space="preserve">  </w:t>
            </w:r>
            <w:r>
              <w:t>S</w:t>
            </w:r>
            <w:r w:rsidR="0041425F">
              <w:t xml:space="preserve">tudents </w:t>
            </w:r>
            <w:r>
              <w:t>are encouraged to participate in our interns</w:t>
            </w:r>
            <w:r w:rsidR="0017680A">
              <w:t xml:space="preserve">hip program or apply for any available employment opportunities available. </w:t>
            </w:r>
          </w:p>
          <w:p w:rsidR="00FF05B6" w:rsidRDefault="00FF05B6" w:rsidP="0041521B">
            <w:pPr>
              <w:widowControl w:val="0"/>
              <w:autoSpaceDE w:val="0"/>
              <w:autoSpaceDN w:val="0"/>
              <w:adjustRightInd w:val="0"/>
            </w:pPr>
          </w:p>
          <w:p w:rsidR="00FF05B6" w:rsidRDefault="00CF43FA" w:rsidP="00FF05B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From </w:t>
            </w:r>
            <w:r w:rsidR="0013615A">
              <w:rPr>
                <w:color w:val="000000"/>
              </w:rPr>
              <w:t>June 1, 2010</w:t>
            </w:r>
            <w:r w:rsidR="0013615A">
              <w:t xml:space="preserve"> to May 31, 2011</w:t>
            </w:r>
            <w:bookmarkStart w:id="0" w:name="_GoBack"/>
            <w:bookmarkEnd w:id="0"/>
            <w:r w:rsidR="0041425F">
              <w:rPr>
                <w:color w:val="000000"/>
              </w:rPr>
              <w:t xml:space="preserve"> </w:t>
            </w:r>
          </w:p>
          <w:p w:rsidR="0041425F" w:rsidRPr="003F70F4" w:rsidRDefault="00FF05B6" w:rsidP="00CE700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Interns participated in broadcast production</w:t>
            </w:r>
            <w:r w:rsidR="00CE700E">
              <w:rPr>
                <w:color w:val="000000"/>
              </w:rPr>
              <w:t xml:space="preserve"> both in studio and on location.</w:t>
            </w:r>
            <w:r>
              <w:rPr>
                <w:color w:val="000000"/>
              </w:rPr>
              <w:t xml:space="preserve">  </w:t>
            </w:r>
          </w:p>
        </w:tc>
      </w:tr>
      <w:tr w:rsidR="0041425F" w:rsidTr="00FA1BAC">
        <w:tc>
          <w:tcPr>
            <w:tcW w:w="4428" w:type="dxa"/>
          </w:tcPr>
          <w:p w:rsidR="0041425F" w:rsidRPr="00054A98" w:rsidRDefault="0041425F" w:rsidP="00FA1BAC">
            <w:pPr>
              <w:rPr>
                <w:color w:val="000000"/>
              </w:rPr>
            </w:pPr>
          </w:p>
        </w:tc>
        <w:tc>
          <w:tcPr>
            <w:tcW w:w="4428" w:type="dxa"/>
          </w:tcPr>
          <w:p w:rsidR="0041425F" w:rsidRPr="00054A98" w:rsidRDefault="0041425F" w:rsidP="002901C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1425F" w:rsidTr="00CF43FA">
        <w:trPr>
          <w:trHeight w:val="70"/>
        </w:trPr>
        <w:tc>
          <w:tcPr>
            <w:tcW w:w="4428" w:type="dxa"/>
          </w:tcPr>
          <w:p w:rsidR="0041425F" w:rsidRPr="00054A98" w:rsidRDefault="0041425F" w:rsidP="00FA1BAC">
            <w:pPr>
              <w:rPr>
                <w:color w:val="000000"/>
              </w:rPr>
            </w:pPr>
          </w:p>
        </w:tc>
        <w:tc>
          <w:tcPr>
            <w:tcW w:w="4428" w:type="dxa"/>
          </w:tcPr>
          <w:p w:rsidR="0041425F" w:rsidRPr="00CF43FA" w:rsidRDefault="0041425F" w:rsidP="002901CE">
            <w:pPr>
              <w:outlineLvl w:val="0"/>
              <w:rPr>
                <w:color w:val="000000"/>
              </w:rPr>
            </w:pPr>
          </w:p>
        </w:tc>
      </w:tr>
    </w:tbl>
    <w:p w:rsidR="00046B1E" w:rsidRDefault="00046B1E" w:rsidP="0041425F">
      <w:pPr>
        <w:outlineLvl w:val="0"/>
        <w:rPr>
          <w:b/>
          <w:u w:val="single"/>
        </w:rPr>
      </w:pPr>
    </w:p>
    <w:p w:rsidR="00046B1E" w:rsidRDefault="00046B1E" w:rsidP="002D39F0">
      <w:pPr>
        <w:jc w:val="center"/>
        <w:outlineLvl w:val="0"/>
        <w:rPr>
          <w:b/>
          <w:u w:val="single"/>
        </w:rPr>
      </w:pPr>
    </w:p>
    <w:p w:rsidR="00046B1E" w:rsidRDefault="00046B1E" w:rsidP="002D39F0">
      <w:pPr>
        <w:jc w:val="center"/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34480C" w:rsidRDefault="0034480C" w:rsidP="0034480C">
      <w:pPr>
        <w:rPr>
          <w:b/>
          <w:u w:val="single"/>
        </w:rPr>
      </w:pPr>
    </w:p>
    <w:p w:rsidR="00046B1E" w:rsidRPr="0034480C" w:rsidRDefault="00046B1E" w:rsidP="0034480C">
      <w:pPr>
        <w:jc w:val="center"/>
      </w:pPr>
      <w:r>
        <w:t>LIST OF POSITIONS FILLED</w:t>
      </w:r>
    </w:p>
    <w:p w:rsidR="00046B1E" w:rsidRDefault="00046B1E" w:rsidP="00FA157B">
      <w:pPr>
        <w:jc w:val="center"/>
      </w:pPr>
    </w:p>
    <w:p w:rsidR="00046B1E" w:rsidRDefault="00046B1E" w:rsidP="001B35BB"/>
    <w:p w:rsidR="00046B1E" w:rsidRDefault="00046B1E" w:rsidP="001B35BB">
      <w:pPr>
        <w:ind w:right="-720"/>
        <w:outlineLvl w:val="0"/>
      </w:pPr>
      <w:r>
        <w:t>List all full-time job vacancies filled by employment unit, identified by job title, and indicate source referring person hired.</w:t>
      </w:r>
    </w:p>
    <w:p w:rsidR="00046B1E" w:rsidRDefault="00046B1E" w:rsidP="001B35BB"/>
    <w:p w:rsidR="0041425F" w:rsidRDefault="0041425F" w:rsidP="0041425F"/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3150"/>
        <w:gridCol w:w="4230"/>
      </w:tblGrid>
      <w:tr w:rsidR="0041425F" w:rsidTr="00FA1BAC">
        <w:tc>
          <w:tcPr>
            <w:tcW w:w="1818" w:type="dxa"/>
            <w:shd w:val="pct12" w:color="auto" w:fill="FFFFFF"/>
          </w:tcPr>
          <w:p w:rsidR="0041425F" w:rsidRDefault="0041425F" w:rsidP="00FA1BAC">
            <w:pPr>
              <w:jc w:val="center"/>
              <w:rPr>
                <w:smallCaps/>
              </w:rPr>
            </w:pPr>
            <w:r>
              <w:rPr>
                <w:smallCaps/>
              </w:rPr>
              <w:t xml:space="preserve">Date of </w:t>
            </w:r>
            <w:smartTag w:uri="urn:schemas-microsoft-com:office:smarttags" w:element="stockticker">
              <w:r>
                <w:rPr>
                  <w:smallCaps/>
                </w:rPr>
                <w:t>Hire</w:t>
              </w:r>
            </w:smartTag>
          </w:p>
        </w:tc>
        <w:tc>
          <w:tcPr>
            <w:tcW w:w="3150" w:type="dxa"/>
            <w:shd w:val="pct12" w:color="auto" w:fill="FFFFFF"/>
          </w:tcPr>
          <w:p w:rsidR="0041425F" w:rsidRDefault="0041425F" w:rsidP="00FA1BAC">
            <w:pPr>
              <w:jc w:val="center"/>
              <w:rPr>
                <w:smallCaps/>
              </w:rPr>
            </w:pPr>
            <w:smartTag w:uri="urn:schemas-microsoft-com:office:smarttags" w:element="stockticker">
              <w:r>
                <w:rPr>
                  <w:smallCaps/>
                </w:rPr>
                <w:t>Job</w:t>
              </w:r>
            </w:smartTag>
            <w:r>
              <w:rPr>
                <w:smallCaps/>
              </w:rPr>
              <w:t xml:space="preserve"> Title</w:t>
            </w:r>
          </w:p>
        </w:tc>
        <w:tc>
          <w:tcPr>
            <w:tcW w:w="4230" w:type="dxa"/>
            <w:shd w:val="pct12" w:color="auto" w:fill="FFFFFF"/>
          </w:tcPr>
          <w:p w:rsidR="0041425F" w:rsidRDefault="0041425F" w:rsidP="00FA1BAC">
            <w:pPr>
              <w:jc w:val="center"/>
              <w:rPr>
                <w:smallCaps/>
              </w:rPr>
            </w:pPr>
            <w:r>
              <w:rPr>
                <w:smallCaps/>
              </w:rPr>
              <w:t xml:space="preserve">Recruitment Source Referring </w:t>
            </w:r>
            <w:proofErr w:type="spellStart"/>
            <w:r>
              <w:rPr>
                <w:smallCaps/>
              </w:rPr>
              <w:t>Hiree</w:t>
            </w:r>
            <w:proofErr w:type="spellEnd"/>
          </w:p>
        </w:tc>
      </w:tr>
      <w:tr w:rsidR="0041425F" w:rsidTr="00FA1BAC">
        <w:tc>
          <w:tcPr>
            <w:tcW w:w="1818" w:type="dxa"/>
          </w:tcPr>
          <w:p w:rsidR="0041425F" w:rsidRDefault="00D20450" w:rsidP="00D20450">
            <w:r>
              <w:t>3</w:t>
            </w:r>
            <w:r w:rsidR="00CF43FA">
              <w:t>/</w:t>
            </w:r>
            <w:r>
              <w:t>1</w:t>
            </w:r>
            <w:r w:rsidR="00CF43FA">
              <w:t>/1</w:t>
            </w:r>
            <w:r>
              <w:t>0</w:t>
            </w:r>
          </w:p>
        </w:tc>
        <w:tc>
          <w:tcPr>
            <w:tcW w:w="3150" w:type="dxa"/>
          </w:tcPr>
          <w:p w:rsidR="0041425F" w:rsidRDefault="00CF43FA" w:rsidP="00FA1BAC">
            <w:r>
              <w:t>Sales</w:t>
            </w:r>
          </w:p>
        </w:tc>
        <w:tc>
          <w:tcPr>
            <w:tcW w:w="4230" w:type="dxa"/>
          </w:tcPr>
          <w:p w:rsidR="0041425F" w:rsidRDefault="00B9386B" w:rsidP="00B9386B">
            <w:r>
              <w:t>KQTM-FM Website</w:t>
            </w:r>
          </w:p>
        </w:tc>
      </w:tr>
      <w:tr w:rsidR="0041425F" w:rsidTr="00FA1BAC">
        <w:tc>
          <w:tcPr>
            <w:tcW w:w="1818" w:type="dxa"/>
          </w:tcPr>
          <w:p w:rsidR="0041425F" w:rsidRDefault="00D20450" w:rsidP="00D20450">
            <w:r>
              <w:t>7</w:t>
            </w:r>
            <w:r w:rsidR="00CF43FA">
              <w:t>/</w:t>
            </w:r>
            <w:r>
              <w:t>1/</w:t>
            </w:r>
            <w:r w:rsidR="00CF43FA">
              <w:t>1</w:t>
            </w:r>
            <w:r>
              <w:t>0</w:t>
            </w:r>
          </w:p>
        </w:tc>
        <w:tc>
          <w:tcPr>
            <w:tcW w:w="3150" w:type="dxa"/>
          </w:tcPr>
          <w:p w:rsidR="0041425F" w:rsidRDefault="00CF43FA" w:rsidP="00FA1BAC">
            <w:r>
              <w:t>Sales</w:t>
            </w:r>
          </w:p>
        </w:tc>
        <w:tc>
          <w:tcPr>
            <w:tcW w:w="4230" w:type="dxa"/>
          </w:tcPr>
          <w:p w:rsidR="0041425F" w:rsidRDefault="00B9386B" w:rsidP="00FA1BAC">
            <w:r>
              <w:t>KQTM-FM Website</w:t>
            </w:r>
          </w:p>
        </w:tc>
      </w:tr>
    </w:tbl>
    <w:p w:rsidR="0041425F" w:rsidRDefault="0041425F" w:rsidP="0041425F">
      <w:pPr>
        <w:rPr>
          <w:b/>
          <w:u w:val="single"/>
        </w:rPr>
      </w:pPr>
    </w:p>
    <w:p w:rsidR="00046B1E" w:rsidRDefault="00046B1E" w:rsidP="003E0FFC">
      <w:pPr>
        <w:jc w:val="center"/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046B1E" w:rsidRDefault="00046B1E" w:rsidP="004B1C9D">
      <w:pPr>
        <w:rPr>
          <w:b/>
          <w:u w:val="single"/>
        </w:rPr>
      </w:pPr>
    </w:p>
    <w:p w:rsidR="00046B1E" w:rsidRDefault="00046B1E" w:rsidP="00D20450">
      <w:r>
        <w:br w:type="page"/>
      </w:r>
      <w:r>
        <w:lastRenderedPageBreak/>
        <w:t>INTERVIEWEE REFERRAL SOURCE SUMMARY</w:t>
      </w:r>
    </w:p>
    <w:p w:rsidR="00046B1E" w:rsidRDefault="00046B1E" w:rsidP="00393020">
      <w:pPr>
        <w:jc w:val="center"/>
        <w:rPr>
          <w:i/>
          <w:sz w:val="20"/>
        </w:rPr>
      </w:pPr>
    </w:p>
    <w:p w:rsidR="00046B1E" w:rsidRDefault="00046B1E" w:rsidP="00393020">
      <w:pPr>
        <w:jc w:val="right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98"/>
        <w:gridCol w:w="5040"/>
      </w:tblGrid>
      <w:tr w:rsidR="00046B1E">
        <w:tc>
          <w:tcPr>
            <w:tcW w:w="1998" w:type="dxa"/>
          </w:tcPr>
          <w:p w:rsidR="00046B1E" w:rsidRDefault="00046B1E" w:rsidP="00393020">
            <w:pPr>
              <w:rPr>
                <w:sz w:val="22"/>
              </w:rPr>
            </w:pPr>
            <w:r>
              <w:rPr>
                <w:sz w:val="22"/>
              </w:rPr>
              <w:t>Date of</w:t>
            </w:r>
          </w:p>
          <w:p w:rsidR="00046B1E" w:rsidRDefault="00046B1E" w:rsidP="00393020">
            <w:pPr>
              <w:rPr>
                <w:sz w:val="22"/>
              </w:rPr>
            </w:pPr>
            <w:r>
              <w:rPr>
                <w:sz w:val="22"/>
              </w:rPr>
              <w:t xml:space="preserve">Annual Report: 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046B1E" w:rsidRDefault="00804259" w:rsidP="00804259">
            <w:r>
              <w:t>June 1, 2010 to May 31.2011</w:t>
            </w:r>
          </w:p>
        </w:tc>
      </w:tr>
      <w:tr w:rsidR="00046B1E">
        <w:tc>
          <w:tcPr>
            <w:tcW w:w="1998" w:type="dxa"/>
          </w:tcPr>
          <w:p w:rsidR="00046B1E" w:rsidRDefault="00046B1E" w:rsidP="00393020">
            <w:pPr>
              <w:rPr>
                <w:sz w:val="22"/>
              </w:rPr>
            </w:pPr>
          </w:p>
        </w:tc>
        <w:tc>
          <w:tcPr>
            <w:tcW w:w="5040" w:type="dxa"/>
          </w:tcPr>
          <w:p w:rsidR="00046B1E" w:rsidRDefault="00046B1E" w:rsidP="00393020">
            <w:pPr>
              <w:rPr>
                <w:sz w:val="16"/>
              </w:rPr>
            </w:pPr>
            <w:r>
              <w:rPr>
                <w:sz w:val="16"/>
              </w:rPr>
              <w:t>(enter the anniversary of the date the station must file its renewal application, which is four months prior to expiration of the license)</w:t>
            </w:r>
          </w:p>
        </w:tc>
      </w:tr>
    </w:tbl>
    <w:p w:rsidR="00046B1E" w:rsidRDefault="00046B1E" w:rsidP="00393020"/>
    <w:p w:rsidR="00046B1E" w:rsidRDefault="00046B1E" w:rsidP="00393020"/>
    <w:p w:rsidR="00046B1E" w:rsidRDefault="00046B1E" w:rsidP="00393020">
      <w:r>
        <w:t xml:space="preserve">Total Number of Persons Interviewed in Preceding Year: </w:t>
      </w:r>
      <w:r w:rsidR="00B9386B">
        <w:rPr>
          <w:u w:val="single"/>
        </w:rPr>
        <w:t>11</w:t>
      </w:r>
    </w:p>
    <w:p w:rsidR="00046B1E" w:rsidRDefault="00046B1E" w:rsidP="00393020"/>
    <w:p w:rsidR="00046B1E" w:rsidRDefault="00046B1E" w:rsidP="00393020">
      <w:pPr>
        <w:rPr>
          <w:sz w:val="20"/>
        </w:rPr>
      </w:pPr>
      <w:r>
        <w:rPr>
          <w:sz w:val="20"/>
        </w:rPr>
        <w:t>List total number of interviewees generated by each recruitment source in the preceding year (use as many pages as necessary).</w:t>
      </w:r>
    </w:p>
    <w:p w:rsidR="00A00E9C" w:rsidRDefault="00A00E9C" w:rsidP="00A00E9C">
      <w:pPr>
        <w:rPr>
          <w:sz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8"/>
        <w:gridCol w:w="2700"/>
      </w:tblGrid>
      <w:tr w:rsidR="00A00E9C" w:rsidTr="00FA1BAC">
        <w:trPr>
          <w:cantSplit/>
          <w:trHeight w:val="285"/>
        </w:trPr>
        <w:tc>
          <w:tcPr>
            <w:tcW w:w="6768" w:type="dxa"/>
            <w:vMerge w:val="restart"/>
            <w:shd w:val="pct12" w:color="auto" w:fill="FFFFFF"/>
          </w:tcPr>
          <w:p w:rsidR="00A00E9C" w:rsidRDefault="00A00E9C" w:rsidP="00FA1BAC">
            <w:pPr>
              <w:tabs>
                <w:tab w:val="left" w:pos="6120"/>
                <w:tab w:val="left" w:pos="8820"/>
                <w:tab w:val="left" w:pos="9990"/>
                <w:tab w:val="left" w:pos="11070"/>
              </w:tabs>
              <w:ind w:right="-1152"/>
            </w:pPr>
          </w:p>
          <w:p w:rsidR="00A00E9C" w:rsidRDefault="00A00E9C" w:rsidP="00FA1BAC">
            <w:pPr>
              <w:tabs>
                <w:tab w:val="left" w:pos="6120"/>
                <w:tab w:val="left" w:pos="8820"/>
                <w:tab w:val="left" w:pos="9990"/>
                <w:tab w:val="left" w:pos="11070"/>
              </w:tabs>
              <w:ind w:right="-1152"/>
            </w:pPr>
            <w:r>
              <w:t>Recruitment Sources Used in Preceding Year</w:t>
            </w:r>
          </w:p>
        </w:tc>
        <w:tc>
          <w:tcPr>
            <w:tcW w:w="2700" w:type="dxa"/>
            <w:vMerge w:val="restart"/>
            <w:shd w:val="pct12" w:color="auto" w:fill="FFFFFF"/>
          </w:tcPr>
          <w:p w:rsidR="00A00E9C" w:rsidRDefault="00A00E9C" w:rsidP="00FA1BAC">
            <w:pPr>
              <w:tabs>
                <w:tab w:val="left" w:pos="6120"/>
                <w:tab w:val="left" w:pos="8820"/>
                <w:tab w:val="left" w:pos="9990"/>
                <w:tab w:val="left" w:pos="11070"/>
              </w:tabs>
              <w:ind w:right="-1152"/>
            </w:pPr>
            <w:r>
              <w:t>Number of Persons</w:t>
            </w:r>
          </w:p>
          <w:p w:rsidR="00A00E9C" w:rsidRDefault="00A00E9C" w:rsidP="00FA1BAC">
            <w:pPr>
              <w:tabs>
                <w:tab w:val="left" w:pos="6120"/>
                <w:tab w:val="left" w:pos="8820"/>
                <w:tab w:val="left" w:pos="9990"/>
                <w:tab w:val="left" w:pos="11070"/>
              </w:tabs>
              <w:ind w:right="-1152"/>
            </w:pPr>
            <w:r>
              <w:t xml:space="preserve">Interviewed that the </w:t>
            </w:r>
          </w:p>
          <w:p w:rsidR="00A00E9C" w:rsidRDefault="00A00E9C" w:rsidP="00FA1BAC">
            <w:pPr>
              <w:tabs>
                <w:tab w:val="left" w:pos="6120"/>
                <w:tab w:val="left" w:pos="8820"/>
                <w:tab w:val="left" w:pos="9990"/>
                <w:tab w:val="left" w:pos="11070"/>
              </w:tabs>
              <w:ind w:right="-1152"/>
            </w:pPr>
            <w:r>
              <w:t>Source Referred</w:t>
            </w:r>
          </w:p>
        </w:tc>
      </w:tr>
      <w:tr w:rsidR="00A00E9C" w:rsidTr="00FA1BAC">
        <w:trPr>
          <w:cantSplit/>
          <w:trHeight w:val="285"/>
        </w:trPr>
        <w:tc>
          <w:tcPr>
            <w:tcW w:w="6768" w:type="dxa"/>
            <w:vMerge/>
          </w:tcPr>
          <w:p w:rsidR="00A00E9C" w:rsidRDefault="00A00E9C" w:rsidP="00FA1BAC">
            <w:pPr>
              <w:tabs>
                <w:tab w:val="left" w:pos="6120"/>
                <w:tab w:val="left" w:pos="8820"/>
                <w:tab w:val="left" w:pos="9990"/>
                <w:tab w:val="left" w:pos="11070"/>
              </w:tabs>
              <w:ind w:right="-1152"/>
            </w:pPr>
          </w:p>
        </w:tc>
        <w:tc>
          <w:tcPr>
            <w:tcW w:w="2700" w:type="dxa"/>
            <w:vMerge/>
          </w:tcPr>
          <w:p w:rsidR="00A00E9C" w:rsidRDefault="00A00E9C" w:rsidP="00FA1BAC">
            <w:pPr>
              <w:tabs>
                <w:tab w:val="left" w:pos="6120"/>
                <w:tab w:val="left" w:pos="8820"/>
                <w:tab w:val="left" w:pos="9990"/>
                <w:tab w:val="left" w:pos="11070"/>
              </w:tabs>
              <w:ind w:right="-1152"/>
            </w:pPr>
          </w:p>
        </w:tc>
      </w:tr>
      <w:tr w:rsidR="00A00E9C" w:rsidRPr="00476C21" w:rsidTr="00FA1BAC">
        <w:trPr>
          <w:cantSplit/>
        </w:trPr>
        <w:tc>
          <w:tcPr>
            <w:tcW w:w="6768" w:type="dxa"/>
          </w:tcPr>
          <w:p w:rsidR="00A00E9C" w:rsidRPr="00476C21" w:rsidRDefault="00CC77A8" w:rsidP="00FA1BAC">
            <w:pPr>
              <w:ind w:right="-1152"/>
              <w:rPr>
                <w:szCs w:val="20"/>
              </w:rPr>
            </w:pPr>
            <w:r>
              <w:rPr>
                <w:szCs w:val="20"/>
              </w:rPr>
              <w:t>KQTM-FM Radio Ad</w:t>
            </w:r>
          </w:p>
        </w:tc>
        <w:tc>
          <w:tcPr>
            <w:tcW w:w="2700" w:type="dxa"/>
          </w:tcPr>
          <w:p w:rsidR="00A00E9C" w:rsidRPr="00476C21" w:rsidRDefault="00CC77A8" w:rsidP="00FA1BAC">
            <w:pPr>
              <w:ind w:right="-1152"/>
            </w:pPr>
            <w:r>
              <w:t>3</w:t>
            </w:r>
          </w:p>
        </w:tc>
      </w:tr>
      <w:tr w:rsidR="00A00E9C" w:rsidRPr="00476C21" w:rsidTr="00FA1BAC">
        <w:trPr>
          <w:cantSplit/>
        </w:trPr>
        <w:tc>
          <w:tcPr>
            <w:tcW w:w="6768" w:type="dxa"/>
          </w:tcPr>
          <w:p w:rsidR="00A00E9C" w:rsidRPr="00476C21" w:rsidRDefault="00F67E46" w:rsidP="00FA1BAC">
            <w:pPr>
              <w:ind w:right="-1152"/>
            </w:pPr>
            <w:r>
              <w:t>KQTM- FM Website Ad</w:t>
            </w:r>
          </w:p>
        </w:tc>
        <w:tc>
          <w:tcPr>
            <w:tcW w:w="2700" w:type="dxa"/>
          </w:tcPr>
          <w:p w:rsidR="00A00E9C" w:rsidRPr="00476C21" w:rsidRDefault="00B9386B" w:rsidP="00FA1BAC">
            <w:pPr>
              <w:ind w:right="-1152"/>
            </w:pPr>
            <w:r>
              <w:t>6</w:t>
            </w:r>
          </w:p>
        </w:tc>
      </w:tr>
      <w:tr w:rsidR="00A00E9C" w:rsidRPr="00476C21" w:rsidTr="00FA1BAC">
        <w:trPr>
          <w:cantSplit/>
        </w:trPr>
        <w:tc>
          <w:tcPr>
            <w:tcW w:w="6768" w:type="dxa"/>
          </w:tcPr>
          <w:p w:rsidR="00A00E9C" w:rsidRPr="00476C21" w:rsidRDefault="00F67E46" w:rsidP="00FA1BAC">
            <w:pPr>
              <w:ind w:right="-1152"/>
            </w:pPr>
            <w:r>
              <w:t>University of New Mexico</w:t>
            </w:r>
          </w:p>
        </w:tc>
        <w:tc>
          <w:tcPr>
            <w:tcW w:w="2700" w:type="dxa"/>
          </w:tcPr>
          <w:p w:rsidR="00A00E9C" w:rsidRPr="00476C21" w:rsidRDefault="00B9386B" w:rsidP="00FA1BAC">
            <w:pPr>
              <w:ind w:right="-1152"/>
            </w:pPr>
            <w:r>
              <w:t>2</w:t>
            </w:r>
          </w:p>
        </w:tc>
      </w:tr>
      <w:tr w:rsidR="00A00E9C" w:rsidRPr="00476C21" w:rsidTr="00FA1BAC">
        <w:trPr>
          <w:cantSplit/>
        </w:trPr>
        <w:tc>
          <w:tcPr>
            <w:tcW w:w="6768" w:type="dxa"/>
          </w:tcPr>
          <w:p w:rsidR="00A00E9C" w:rsidRPr="00530482" w:rsidRDefault="00A00E9C" w:rsidP="00FA1BAC">
            <w:pPr>
              <w:ind w:right="-1152"/>
              <w:rPr>
                <w:caps/>
              </w:rPr>
            </w:pPr>
          </w:p>
        </w:tc>
        <w:tc>
          <w:tcPr>
            <w:tcW w:w="2700" w:type="dxa"/>
          </w:tcPr>
          <w:p w:rsidR="00A00E9C" w:rsidRPr="00476C21" w:rsidRDefault="00A00E9C" w:rsidP="00FA1BAC">
            <w:pPr>
              <w:ind w:right="-1152"/>
            </w:pPr>
          </w:p>
        </w:tc>
      </w:tr>
      <w:tr w:rsidR="00A00E9C" w:rsidRPr="00476C21" w:rsidTr="00FA1BAC">
        <w:trPr>
          <w:cantSplit/>
        </w:trPr>
        <w:tc>
          <w:tcPr>
            <w:tcW w:w="6768" w:type="dxa"/>
          </w:tcPr>
          <w:p w:rsidR="00A00E9C" w:rsidRPr="00476C21" w:rsidRDefault="00A00E9C" w:rsidP="00FA1BAC">
            <w:pPr>
              <w:ind w:right="-1152"/>
              <w:rPr>
                <w:sz w:val="19"/>
                <w:szCs w:val="19"/>
              </w:rPr>
            </w:pPr>
          </w:p>
        </w:tc>
        <w:tc>
          <w:tcPr>
            <w:tcW w:w="2700" w:type="dxa"/>
          </w:tcPr>
          <w:p w:rsidR="00A00E9C" w:rsidRPr="00476C21" w:rsidRDefault="00A00E9C" w:rsidP="00FA1BAC">
            <w:pPr>
              <w:ind w:right="-1152"/>
            </w:pPr>
          </w:p>
        </w:tc>
      </w:tr>
      <w:tr w:rsidR="00A00E9C" w:rsidRPr="00476C21" w:rsidTr="00FA1BAC">
        <w:trPr>
          <w:cantSplit/>
        </w:trPr>
        <w:tc>
          <w:tcPr>
            <w:tcW w:w="6768" w:type="dxa"/>
          </w:tcPr>
          <w:p w:rsidR="00A00E9C" w:rsidRPr="00476C21" w:rsidRDefault="00A00E9C" w:rsidP="00FA1BAC">
            <w:pPr>
              <w:ind w:right="-1152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A00E9C" w:rsidRPr="00476C21" w:rsidRDefault="00A00E9C" w:rsidP="00FA1BAC">
            <w:pPr>
              <w:ind w:right="-1152"/>
            </w:pPr>
          </w:p>
        </w:tc>
      </w:tr>
      <w:tr w:rsidR="00A00E9C" w:rsidRPr="00476C21" w:rsidTr="00FA1BAC">
        <w:trPr>
          <w:cantSplit/>
        </w:trPr>
        <w:tc>
          <w:tcPr>
            <w:tcW w:w="6768" w:type="dxa"/>
          </w:tcPr>
          <w:p w:rsidR="00A00E9C" w:rsidRPr="00476C21" w:rsidRDefault="00A00E9C" w:rsidP="00FA1BAC">
            <w:pPr>
              <w:ind w:right="-1152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A00E9C" w:rsidRPr="00476C21" w:rsidRDefault="00A00E9C" w:rsidP="00FA1BAC">
            <w:pPr>
              <w:ind w:right="-1152"/>
            </w:pPr>
          </w:p>
        </w:tc>
      </w:tr>
      <w:tr w:rsidR="00A00E9C" w:rsidRPr="00476C21" w:rsidTr="00FA1BAC">
        <w:trPr>
          <w:cantSplit/>
        </w:trPr>
        <w:tc>
          <w:tcPr>
            <w:tcW w:w="6768" w:type="dxa"/>
          </w:tcPr>
          <w:p w:rsidR="00A00E9C" w:rsidRPr="00476C21" w:rsidRDefault="00A00E9C" w:rsidP="00FA1BAC">
            <w:pPr>
              <w:ind w:right="-1152"/>
            </w:pPr>
          </w:p>
        </w:tc>
        <w:tc>
          <w:tcPr>
            <w:tcW w:w="2700" w:type="dxa"/>
          </w:tcPr>
          <w:p w:rsidR="00A00E9C" w:rsidRPr="00476C21" w:rsidRDefault="00A00E9C" w:rsidP="00FA1BAC">
            <w:pPr>
              <w:ind w:right="-1152"/>
            </w:pPr>
          </w:p>
        </w:tc>
      </w:tr>
      <w:tr w:rsidR="00A00E9C" w:rsidRPr="00476C21" w:rsidTr="00FA1BAC">
        <w:trPr>
          <w:cantSplit/>
        </w:trPr>
        <w:tc>
          <w:tcPr>
            <w:tcW w:w="6768" w:type="dxa"/>
          </w:tcPr>
          <w:p w:rsidR="00A00E9C" w:rsidRPr="00476C21" w:rsidRDefault="00A00E9C" w:rsidP="00FA1BAC">
            <w:pPr>
              <w:ind w:right="-1152"/>
            </w:pPr>
          </w:p>
        </w:tc>
        <w:tc>
          <w:tcPr>
            <w:tcW w:w="2700" w:type="dxa"/>
          </w:tcPr>
          <w:p w:rsidR="00A00E9C" w:rsidRPr="00476C21" w:rsidRDefault="00A00E9C" w:rsidP="00FA1BAC">
            <w:pPr>
              <w:ind w:right="-1152"/>
            </w:pPr>
          </w:p>
        </w:tc>
      </w:tr>
      <w:tr w:rsidR="00A00E9C" w:rsidRPr="00476C21" w:rsidTr="00FA1BAC">
        <w:trPr>
          <w:cantSplit/>
        </w:trPr>
        <w:tc>
          <w:tcPr>
            <w:tcW w:w="6768" w:type="dxa"/>
          </w:tcPr>
          <w:p w:rsidR="00A00E9C" w:rsidRPr="00476C21" w:rsidRDefault="00A00E9C" w:rsidP="00FA1BAC">
            <w:pPr>
              <w:ind w:right="-1152"/>
            </w:pPr>
          </w:p>
        </w:tc>
        <w:tc>
          <w:tcPr>
            <w:tcW w:w="2700" w:type="dxa"/>
          </w:tcPr>
          <w:p w:rsidR="00A00E9C" w:rsidRPr="00476C21" w:rsidRDefault="00A00E9C" w:rsidP="00FA1BAC">
            <w:pPr>
              <w:ind w:right="-1152"/>
            </w:pPr>
          </w:p>
        </w:tc>
      </w:tr>
      <w:tr w:rsidR="00A00E9C" w:rsidRPr="00476C21" w:rsidTr="00FA1BAC">
        <w:trPr>
          <w:cantSplit/>
        </w:trPr>
        <w:tc>
          <w:tcPr>
            <w:tcW w:w="6768" w:type="dxa"/>
          </w:tcPr>
          <w:p w:rsidR="00A00E9C" w:rsidRPr="00476C21" w:rsidRDefault="00A00E9C" w:rsidP="00FA1BAC">
            <w:pPr>
              <w:ind w:right="-1152"/>
            </w:pPr>
          </w:p>
        </w:tc>
        <w:tc>
          <w:tcPr>
            <w:tcW w:w="2700" w:type="dxa"/>
          </w:tcPr>
          <w:p w:rsidR="00A00E9C" w:rsidRPr="00476C21" w:rsidRDefault="00A00E9C" w:rsidP="00FA1BAC">
            <w:pPr>
              <w:ind w:right="-1152"/>
            </w:pPr>
          </w:p>
        </w:tc>
      </w:tr>
      <w:tr w:rsidR="00A00E9C" w:rsidRPr="00476C21" w:rsidTr="00FA1BAC">
        <w:trPr>
          <w:cantSplit/>
        </w:trPr>
        <w:tc>
          <w:tcPr>
            <w:tcW w:w="6768" w:type="dxa"/>
          </w:tcPr>
          <w:p w:rsidR="00A00E9C" w:rsidRPr="00476C21" w:rsidRDefault="00A00E9C" w:rsidP="00FA1BAC">
            <w:pPr>
              <w:ind w:right="-1152"/>
            </w:pPr>
          </w:p>
        </w:tc>
        <w:tc>
          <w:tcPr>
            <w:tcW w:w="2700" w:type="dxa"/>
          </w:tcPr>
          <w:p w:rsidR="00A00E9C" w:rsidRPr="00476C21" w:rsidRDefault="00A00E9C" w:rsidP="00FA1BAC">
            <w:pPr>
              <w:ind w:right="-1152"/>
            </w:pPr>
          </w:p>
        </w:tc>
      </w:tr>
      <w:tr w:rsidR="00A00E9C" w:rsidRPr="00476C21" w:rsidTr="00FA1BAC">
        <w:trPr>
          <w:cantSplit/>
        </w:trPr>
        <w:tc>
          <w:tcPr>
            <w:tcW w:w="6768" w:type="dxa"/>
          </w:tcPr>
          <w:p w:rsidR="00A00E9C" w:rsidRPr="00476C21" w:rsidRDefault="00A00E9C" w:rsidP="00FA1BAC">
            <w:pPr>
              <w:ind w:right="-1152"/>
            </w:pPr>
          </w:p>
        </w:tc>
        <w:tc>
          <w:tcPr>
            <w:tcW w:w="2700" w:type="dxa"/>
          </w:tcPr>
          <w:p w:rsidR="00A00E9C" w:rsidRPr="00476C21" w:rsidRDefault="00A00E9C" w:rsidP="00FA1BAC">
            <w:pPr>
              <w:ind w:right="-1152"/>
            </w:pPr>
          </w:p>
        </w:tc>
      </w:tr>
      <w:tr w:rsidR="00A00E9C" w:rsidRPr="00476C21" w:rsidTr="00FA1BAC">
        <w:trPr>
          <w:cantSplit/>
        </w:trPr>
        <w:tc>
          <w:tcPr>
            <w:tcW w:w="6768" w:type="dxa"/>
          </w:tcPr>
          <w:p w:rsidR="00A00E9C" w:rsidRPr="00476C21" w:rsidRDefault="00A00E9C" w:rsidP="00FA1BAC">
            <w:pPr>
              <w:ind w:right="-1152"/>
            </w:pPr>
          </w:p>
        </w:tc>
        <w:tc>
          <w:tcPr>
            <w:tcW w:w="2700" w:type="dxa"/>
          </w:tcPr>
          <w:p w:rsidR="00A00E9C" w:rsidRPr="00476C21" w:rsidRDefault="00A00E9C" w:rsidP="00FA1BAC">
            <w:pPr>
              <w:ind w:right="-1152"/>
            </w:pPr>
          </w:p>
        </w:tc>
      </w:tr>
      <w:tr w:rsidR="00A00E9C" w:rsidRPr="00476C21" w:rsidTr="00FA1BAC">
        <w:trPr>
          <w:cantSplit/>
        </w:trPr>
        <w:tc>
          <w:tcPr>
            <w:tcW w:w="6768" w:type="dxa"/>
          </w:tcPr>
          <w:p w:rsidR="00A00E9C" w:rsidRPr="00476C21" w:rsidRDefault="00A00E9C" w:rsidP="00FA1BAC">
            <w:pPr>
              <w:ind w:right="-1152"/>
            </w:pPr>
          </w:p>
        </w:tc>
        <w:tc>
          <w:tcPr>
            <w:tcW w:w="2700" w:type="dxa"/>
          </w:tcPr>
          <w:p w:rsidR="00A00E9C" w:rsidRPr="00476C21" w:rsidRDefault="00A00E9C" w:rsidP="00FA1BAC">
            <w:pPr>
              <w:ind w:right="-1152"/>
            </w:pPr>
          </w:p>
        </w:tc>
      </w:tr>
      <w:tr w:rsidR="00A00E9C" w:rsidRPr="00476C21" w:rsidTr="00FA1BAC">
        <w:trPr>
          <w:cantSplit/>
        </w:trPr>
        <w:tc>
          <w:tcPr>
            <w:tcW w:w="6768" w:type="dxa"/>
          </w:tcPr>
          <w:p w:rsidR="00A00E9C" w:rsidRPr="00476C21" w:rsidRDefault="00A00E9C" w:rsidP="00FA1BAC">
            <w:pPr>
              <w:ind w:right="-1152"/>
            </w:pPr>
          </w:p>
        </w:tc>
        <w:tc>
          <w:tcPr>
            <w:tcW w:w="2700" w:type="dxa"/>
          </w:tcPr>
          <w:p w:rsidR="00A00E9C" w:rsidRPr="00476C21" w:rsidRDefault="00A00E9C" w:rsidP="00FA1BAC">
            <w:pPr>
              <w:ind w:right="-1152"/>
            </w:pPr>
          </w:p>
        </w:tc>
      </w:tr>
      <w:tr w:rsidR="00A00E9C" w:rsidRPr="00476C21" w:rsidTr="00FA1BAC">
        <w:trPr>
          <w:cantSplit/>
        </w:trPr>
        <w:tc>
          <w:tcPr>
            <w:tcW w:w="6768" w:type="dxa"/>
          </w:tcPr>
          <w:p w:rsidR="00A00E9C" w:rsidRPr="00476C21" w:rsidRDefault="00A00E9C" w:rsidP="00FA1BAC">
            <w:pPr>
              <w:ind w:right="-1152"/>
            </w:pPr>
          </w:p>
        </w:tc>
        <w:tc>
          <w:tcPr>
            <w:tcW w:w="2700" w:type="dxa"/>
          </w:tcPr>
          <w:p w:rsidR="00A00E9C" w:rsidRPr="00476C21" w:rsidRDefault="00A00E9C" w:rsidP="00FA1BAC">
            <w:pPr>
              <w:ind w:right="-1152"/>
            </w:pPr>
          </w:p>
        </w:tc>
      </w:tr>
      <w:tr w:rsidR="00A00E9C" w:rsidRPr="00476C21" w:rsidTr="00FA1BAC">
        <w:trPr>
          <w:cantSplit/>
        </w:trPr>
        <w:tc>
          <w:tcPr>
            <w:tcW w:w="6768" w:type="dxa"/>
          </w:tcPr>
          <w:p w:rsidR="00A00E9C" w:rsidRPr="00476C21" w:rsidRDefault="00A00E9C" w:rsidP="00FA1BAC">
            <w:pPr>
              <w:ind w:right="-1152"/>
            </w:pPr>
          </w:p>
        </w:tc>
        <w:tc>
          <w:tcPr>
            <w:tcW w:w="2700" w:type="dxa"/>
          </w:tcPr>
          <w:p w:rsidR="00A00E9C" w:rsidRPr="00476C21" w:rsidRDefault="00A00E9C" w:rsidP="00FA1BAC">
            <w:pPr>
              <w:ind w:right="-1152"/>
            </w:pPr>
          </w:p>
        </w:tc>
      </w:tr>
      <w:tr w:rsidR="00DC61C7" w:rsidRPr="00476C21" w:rsidTr="00656316">
        <w:trPr>
          <w:cantSplit/>
        </w:trPr>
        <w:tc>
          <w:tcPr>
            <w:tcW w:w="6768" w:type="dxa"/>
          </w:tcPr>
          <w:p w:rsidR="00DC61C7" w:rsidRPr="00476C21" w:rsidRDefault="00DC61C7" w:rsidP="00656316">
            <w:pPr>
              <w:ind w:right="-1152"/>
            </w:pPr>
          </w:p>
        </w:tc>
        <w:tc>
          <w:tcPr>
            <w:tcW w:w="2700" w:type="dxa"/>
          </w:tcPr>
          <w:p w:rsidR="00DC61C7" w:rsidRPr="00476C21" w:rsidRDefault="00DC61C7" w:rsidP="00656316">
            <w:pPr>
              <w:ind w:right="-1152"/>
            </w:pPr>
          </w:p>
        </w:tc>
      </w:tr>
    </w:tbl>
    <w:p w:rsidR="00046B1E" w:rsidRDefault="00046B1E" w:rsidP="003E0FFC">
      <w:pPr>
        <w:rPr>
          <w:i/>
          <w:sz w:val="20"/>
        </w:rPr>
      </w:pPr>
    </w:p>
    <w:p w:rsidR="00046B1E" w:rsidRDefault="00046B1E" w:rsidP="003E0FFC">
      <w:pPr>
        <w:rPr>
          <w:i/>
          <w:sz w:val="20"/>
        </w:rPr>
      </w:pPr>
      <w:r>
        <w:rPr>
          <w:i/>
          <w:sz w:val="20"/>
        </w:rPr>
        <w:t xml:space="preserve">Retain until after the grant of the next renewal application. </w:t>
      </w:r>
    </w:p>
    <w:p w:rsidR="00046B1E" w:rsidRDefault="00046B1E" w:rsidP="003E0FFC">
      <w:pPr>
        <w:rPr>
          <w:i/>
          <w:sz w:val="20"/>
        </w:rPr>
      </w:pPr>
    </w:p>
    <w:p w:rsidR="00046B1E" w:rsidRDefault="00046B1E" w:rsidP="003E0FFC">
      <w:pPr>
        <w:rPr>
          <w:i/>
          <w:sz w:val="20"/>
        </w:rPr>
      </w:pPr>
      <w:r>
        <w:rPr>
          <w:i/>
          <w:sz w:val="20"/>
        </w:rPr>
        <w:t>Annually, on the anniversary of the date a station must file its renewal application, a station must place this list in the station’s local public inspection file and post the list on the stat</w:t>
      </w:r>
      <w:r w:rsidR="00CE700E">
        <w:rPr>
          <w:i/>
          <w:sz w:val="20"/>
        </w:rPr>
        <w:t>ion’s web</w:t>
      </w:r>
      <w:r>
        <w:rPr>
          <w:i/>
          <w:sz w:val="20"/>
        </w:rPr>
        <w:t>site if it has one.</w:t>
      </w:r>
    </w:p>
    <w:p w:rsidR="00046B1E" w:rsidRDefault="00046B1E" w:rsidP="003E0FFC"/>
    <w:p w:rsidR="00046B1E" w:rsidRDefault="00046B1E" w:rsidP="001F071A"/>
    <w:p w:rsidR="00046B1E" w:rsidRDefault="00046B1E" w:rsidP="001F071A">
      <w:pPr>
        <w:jc w:val="center"/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046B1E" w:rsidRDefault="00046B1E" w:rsidP="003E0FFC"/>
    <w:p w:rsidR="00046B1E" w:rsidRDefault="00046B1E" w:rsidP="003E0FFC"/>
    <w:sectPr w:rsidR="00046B1E" w:rsidSect="002D731E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6195A"/>
    <w:multiLevelType w:val="hybridMultilevel"/>
    <w:tmpl w:val="712416CA"/>
    <w:lvl w:ilvl="0" w:tplc="04090001">
      <w:start w:val="10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B52"/>
    <w:rsid w:val="000040EB"/>
    <w:rsid w:val="00017DDD"/>
    <w:rsid w:val="00037D0F"/>
    <w:rsid w:val="00040873"/>
    <w:rsid w:val="00041282"/>
    <w:rsid w:val="00046B1E"/>
    <w:rsid w:val="00054A98"/>
    <w:rsid w:val="00071F0F"/>
    <w:rsid w:val="000722DC"/>
    <w:rsid w:val="000A2A0C"/>
    <w:rsid w:val="000A3856"/>
    <w:rsid w:val="000A6656"/>
    <w:rsid w:val="000A7DDC"/>
    <w:rsid w:val="000B504F"/>
    <w:rsid w:val="000C56C4"/>
    <w:rsid w:val="0013615A"/>
    <w:rsid w:val="0014290B"/>
    <w:rsid w:val="00151E1A"/>
    <w:rsid w:val="00153BDD"/>
    <w:rsid w:val="00153EDA"/>
    <w:rsid w:val="00173787"/>
    <w:rsid w:val="0017680A"/>
    <w:rsid w:val="001779EB"/>
    <w:rsid w:val="00193D3C"/>
    <w:rsid w:val="001A7113"/>
    <w:rsid w:val="001B35BB"/>
    <w:rsid w:val="001D4807"/>
    <w:rsid w:val="001E0B78"/>
    <w:rsid w:val="001E795F"/>
    <w:rsid w:val="001F071A"/>
    <w:rsid w:val="00205ECA"/>
    <w:rsid w:val="00221EE3"/>
    <w:rsid w:val="00226E6D"/>
    <w:rsid w:val="00234821"/>
    <w:rsid w:val="00240529"/>
    <w:rsid w:val="00251BA1"/>
    <w:rsid w:val="002901CE"/>
    <w:rsid w:val="002A307B"/>
    <w:rsid w:val="002C59B8"/>
    <w:rsid w:val="002C5D1C"/>
    <w:rsid w:val="002D3909"/>
    <w:rsid w:val="002D39F0"/>
    <w:rsid w:val="002D59D6"/>
    <w:rsid w:val="002D731E"/>
    <w:rsid w:val="002F21B6"/>
    <w:rsid w:val="00337297"/>
    <w:rsid w:val="003377DC"/>
    <w:rsid w:val="0034480C"/>
    <w:rsid w:val="00347AF7"/>
    <w:rsid w:val="00357F85"/>
    <w:rsid w:val="00365204"/>
    <w:rsid w:val="00393020"/>
    <w:rsid w:val="003A12A5"/>
    <w:rsid w:val="003B0C9A"/>
    <w:rsid w:val="003B6848"/>
    <w:rsid w:val="003B7476"/>
    <w:rsid w:val="003E0FFC"/>
    <w:rsid w:val="003F70F4"/>
    <w:rsid w:val="00400F0D"/>
    <w:rsid w:val="00410325"/>
    <w:rsid w:val="0041425F"/>
    <w:rsid w:val="0041521B"/>
    <w:rsid w:val="00417251"/>
    <w:rsid w:val="00421560"/>
    <w:rsid w:val="00423CC4"/>
    <w:rsid w:val="004701FB"/>
    <w:rsid w:val="00475531"/>
    <w:rsid w:val="00476C21"/>
    <w:rsid w:val="00480780"/>
    <w:rsid w:val="004A7DCC"/>
    <w:rsid w:val="004B1C9D"/>
    <w:rsid w:val="004C1166"/>
    <w:rsid w:val="004C6147"/>
    <w:rsid w:val="004D3A77"/>
    <w:rsid w:val="004D64BE"/>
    <w:rsid w:val="004E2DD1"/>
    <w:rsid w:val="00507B98"/>
    <w:rsid w:val="00527455"/>
    <w:rsid w:val="00530482"/>
    <w:rsid w:val="005347FD"/>
    <w:rsid w:val="00542821"/>
    <w:rsid w:val="005548F5"/>
    <w:rsid w:val="005735B0"/>
    <w:rsid w:val="00576D0D"/>
    <w:rsid w:val="00590355"/>
    <w:rsid w:val="005904B2"/>
    <w:rsid w:val="00590B73"/>
    <w:rsid w:val="005A5BEC"/>
    <w:rsid w:val="005C7E6B"/>
    <w:rsid w:val="005F296E"/>
    <w:rsid w:val="005F2BCD"/>
    <w:rsid w:val="005F3988"/>
    <w:rsid w:val="006269F8"/>
    <w:rsid w:val="00635DCA"/>
    <w:rsid w:val="00651CB2"/>
    <w:rsid w:val="00665D0A"/>
    <w:rsid w:val="0067673E"/>
    <w:rsid w:val="00687C96"/>
    <w:rsid w:val="006A1777"/>
    <w:rsid w:val="006B4102"/>
    <w:rsid w:val="006C4CC6"/>
    <w:rsid w:val="006E795C"/>
    <w:rsid w:val="006F7672"/>
    <w:rsid w:val="00740216"/>
    <w:rsid w:val="0075108D"/>
    <w:rsid w:val="00755304"/>
    <w:rsid w:val="007768F1"/>
    <w:rsid w:val="007E5870"/>
    <w:rsid w:val="00804259"/>
    <w:rsid w:val="00821A3D"/>
    <w:rsid w:val="00823B4D"/>
    <w:rsid w:val="00851A67"/>
    <w:rsid w:val="00852AAD"/>
    <w:rsid w:val="00857B94"/>
    <w:rsid w:val="00880828"/>
    <w:rsid w:val="00885CD2"/>
    <w:rsid w:val="00887B4A"/>
    <w:rsid w:val="00896422"/>
    <w:rsid w:val="00897105"/>
    <w:rsid w:val="008A4415"/>
    <w:rsid w:val="008D062D"/>
    <w:rsid w:val="008E18ED"/>
    <w:rsid w:val="008E3586"/>
    <w:rsid w:val="008E3DD2"/>
    <w:rsid w:val="008E4408"/>
    <w:rsid w:val="0091408B"/>
    <w:rsid w:val="009141A0"/>
    <w:rsid w:val="00923B0C"/>
    <w:rsid w:val="00926AD3"/>
    <w:rsid w:val="00927FD2"/>
    <w:rsid w:val="009368E5"/>
    <w:rsid w:val="009501A6"/>
    <w:rsid w:val="0097331F"/>
    <w:rsid w:val="0097529B"/>
    <w:rsid w:val="00995365"/>
    <w:rsid w:val="0099750F"/>
    <w:rsid w:val="009E0B17"/>
    <w:rsid w:val="009F13F2"/>
    <w:rsid w:val="00A00E9C"/>
    <w:rsid w:val="00A144E3"/>
    <w:rsid w:val="00A22C4D"/>
    <w:rsid w:val="00A571C7"/>
    <w:rsid w:val="00A7090F"/>
    <w:rsid w:val="00AA22D8"/>
    <w:rsid w:val="00AC340D"/>
    <w:rsid w:val="00AC73AA"/>
    <w:rsid w:val="00AE531B"/>
    <w:rsid w:val="00AF5015"/>
    <w:rsid w:val="00B034C2"/>
    <w:rsid w:val="00B154BD"/>
    <w:rsid w:val="00B15B52"/>
    <w:rsid w:val="00B42AC3"/>
    <w:rsid w:val="00B672D1"/>
    <w:rsid w:val="00B92E9F"/>
    <w:rsid w:val="00B9386B"/>
    <w:rsid w:val="00B93B58"/>
    <w:rsid w:val="00BB18CD"/>
    <w:rsid w:val="00BF2F28"/>
    <w:rsid w:val="00BF7619"/>
    <w:rsid w:val="00C02E24"/>
    <w:rsid w:val="00C31D67"/>
    <w:rsid w:val="00C33D01"/>
    <w:rsid w:val="00C408D6"/>
    <w:rsid w:val="00C61570"/>
    <w:rsid w:val="00C616B0"/>
    <w:rsid w:val="00CC77A8"/>
    <w:rsid w:val="00CE700E"/>
    <w:rsid w:val="00CF3998"/>
    <w:rsid w:val="00CF43FA"/>
    <w:rsid w:val="00CF6BDA"/>
    <w:rsid w:val="00D05D6E"/>
    <w:rsid w:val="00D20450"/>
    <w:rsid w:val="00D2697E"/>
    <w:rsid w:val="00D33708"/>
    <w:rsid w:val="00D440AD"/>
    <w:rsid w:val="00DC4E18"/>
    <w:rsid w:val="00DC61C7"/>
    <w:rsid w:val="00DE3FCF"/>
    <w:rsid w:val="00DE71E7"/>
    <w:rsid w:val="00E01404"/>
    <w:rsid w:val="00E03C4C"/>
    <w:rsid w:val="00E1631D"/>
    <w:rsid w:val="00E24367"/>
    <w:rsid w:val="00E27F13"/>
    <w:rsid w:val="00E54C07"/>
    <w:rsid w:val="00E73348"/>
    <w:rsid w:val="00E7463A"/>
    <w:rsid w:val="00E82811"/>
    <w:rsid w:val="00EA1899"/>
    <w:rsid w:val="00EA49A1"/>
    <w:rsid w:val="00EB29A9"/>
    <w:rsid w:val="00EC00D2"/>
    <w:rsid w:val="00EE1D8A"/>
    <w:rsid w:val="00EE65C5"/>
    <w:rsid w:val="00EF00F5"/>
    <w:rsid w:val="00EF2677"/>
    <w:rsid w:val="00F0519C"/>
    <w:rsid w:val="00F24AA5"/>
    <w:rsid w:val="00F311B7"/>
    <w:rsid w:val="00F31663"/>
    <w:rsid w:val="00F6054B"/>
    <w:rsid w:val="00F67E46"/>
    <w:rsid w:val="00F82990"/>
    <w:rsid w:val="00F86656"/>
    <w:rsid w:val="00F969B6"/>
    <w:rsid w:val="00FA157B"/>
    <w:rsid w:val="00FA4B22"/>
    <w:rsid w:val="00FD7258"/>
    <w:rsid w:val="00FE2C50"/>
    <w:rsid w:val="00FF05B6"/>
    <w:rsid w:val="00FF2041"/>
    <w:rsid w:val="00FF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40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79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rsid w:val="00226E6D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8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8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40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79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rsid w:val="00226E6D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8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8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1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2005 ANNUAL EEO PUBLIC FILE REPORT</vt:lpstr>
    </vt:vector>
  </TitlesOfParts>
  <Company>Peg Broadcasting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 ANNUAL EEO PUBLIC FILE REPORT</dc:title>
  <dc:creator>Jeff Shaw</dc:creator>
  <cp:lastModifiedBy>John Trent</cp:lastModifiedBy>
  <cp:revision>3</cp:revision>
  <cp:lastPrinted>2011-08-23T23:41:00Z</cp:lastPrinted>
  <dcterms:created xsi:type="dcterms:W3CDTF">2013-05-17T17:25:00Z</dcterms:created>
  <dcterms:modified xsi:type="dcterms:W3CDTF">2013-05-17T17:29:00Z</dcterms:modified>
</cp:coreProperties>
</file>